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5BC0" w14:textId="77777777" w:rsidR="002256BB" w:rsidRPr="002C10AA" w:rsidRDefault="002256BB" w:rsidP="002256BB">
      <w:pPr>
        <w:jc w:val="right"/>
        <w:rPr>
          <w:rFonts w:cs="Times New Roman"/>
          <w:szCs w:val="28"/>
          <w:u w:val="single"/>
          <w:lang w:val="uk-UA"/>
        </w:rPr>
      </w:pPr>
      <w:r w:rsidRPr="002C10AA">
        <w:rPr>
          <w:rFonts w:cs="Times New Roman"/>
          <w:szCs w:val="28"/>
          <w:u w:val="single"/>
          <w:lang w:val="uk-UA"/>
        </w:rPr>
        <w:t>неофіційний переклад</w:t>
      </w:r>
    </w:p>
    <w:p w14:paraId="24B8AAD8" w14:textId="77777777" w:rsidR="003B6F70" w:rsidRPr="002C10AA" w:rsidRDefault="003B6F70" w:rsidP="003B6F70">
      <w:pPr>
        <w:pStyle w:val="a7"/>
        <w:numPr>
          <w:ilvl w:val="0"/>
          <w:numId w:val="11"/>
        </w:numPr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szCs w:val="28"/>
          <w:lang w:val="uk-UA"/>
        </w:rPr>
        <w:t xml:space="preserve">18 грудня 2025 року президент </w:t>
      </w:r>
      <w:proofErr w:type="spellStart"/>
      <w:r w:rsidRPr="002C10AA">
        <w:rPr>
          <w:rFonts w:cs="Times New Roman"/>
          <w:szCs w:val="28"/>
          <w:lang w:val="uk-UA"/>
        </w:rPr>
        <w:t>Трамп</w:t>
      </w:r>
      <w:proofErr w:type="spellEnd"/>
      <w:r w:rsidRPr="002C10AA">
        <w:rPr>
          <w:rFonts w:cs="Times New Roman"/>
          <w:szCs w:val="28"/>
          <w:lang w:val="uk-UA"/>
        </w:rPr>
        <w:t xml:space="preserve"> підписав виконавчий указ, у якому визначено пріоритети Національної космічної політики США та викладено його бачення майбутнього Америки в космосі. Відповідно до цієї політики, NASA поверне американців на Місяць до 2028 року в межах програми </w:t>
      </w:r>
      <w:proofErr w:type="spellStart"/>
      <w:r w:rsidRPr="002C10AA">
        <w:rPr>
          <w:rFonts w:cs="Times New Roman"/>
          <w:szCs w:val="28"/>
          <w:lang w:val="uk-UA"/>
        </w:rPr>
        <w:t>Artemis</w:t>
      </w:r>
      <w:proofErr w:type="spellEnd"/>
      <w:r w:rsidRPr="002C10AA">
        <w:rPr>
          <w:rFonts w:cs="Times New Roman"/>
          <w:szCs w:val="28"/>
          <w:lang w:val="uk-UA"/>
        </w:rPr>
        <w:t xml:space="preserve"> та розпочне створення елементів постійного місячного форпосту до 2030 року. Повертаючись на Місяць уперше за понад 60 років — цього разу назавжди — ми робимо це разом із міжнародними партнерами Америки.</w:t>
      </w:r>
    </w:p>
    <w:p w14:paraId="5B7EEEFE" w14:textId="77777777" w:rsidR="003B6F70" w:rsidRPr="002C10AA" w:rsidRDefault="003B6F70" w:rsidP="003B6F70">
      <w:pPr>
        <w:pStyle w:val="a7"/>
        <w:numPr>
          <w:ilvl w:val="0"/>
          <w:numId w:val="11"/>
        </w:numPr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szCs w:val="28"/>
          <w:lang w:val="uk-UA"/>
        </w:rPr>
        <w:t xml:space="preserve">NASA швидко реалізує доручення президента. 24–25 березня 2026 року адміністратор NASA </w:t>
      </w:r>
      <w:proofErr w:type="spellStart"/>
      <w:r w:rsidRPr="002C10AA">
        <w:rPr>
          <w:rFonts w:cs="Times New Roman"/>
          <w:szCs w:val="28"/>
          <w:lang w:val="uk-UA"/>
        </w:rPr>
        <w:t>Джаред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Айзекман</w:t>
      </w:r>
      <w:proofErr w:type="spellEnd"/>
      <w:r w:rsidRPr="002C10AA">
        <w:rPr>
          <w:rFonts w:cs="Times New Roman"/>
          <w:szCs w:val="28"/>
          <w:lang w:val="uk-UA"/>
        </w:rPr>
        <w:t xml:space="preserve"> провів публічний захід, а NASA організувало двосторонні зустрічі з країнами-учасницями </w:t>
      </w:r>
      <w:proofErr w:type="spellStart"/>
      <w:r w:rsidRPr="002C10AA">
        <w:rPr>
          <w:rFonts w:cs="Times New Roman"/>
          <w:szCs w:val="28"/>
          <w:lang w:val="uk-UA"/>
        </w:rPr>
        <w:t>Artemis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Accords</w:t>
      </w:r>
      <w:proofErr w:type="spellEnd"/>
      <w:r w:rsidRPr="002C10AA">
        <w:rPr>
          <w:rFonts w:cs="Times New Roman"/>
          <w:szCs w:val="28"/>
          <w:lang w:val="uk-UA"/>
        </w:rPr>
        <w:t xml:space="preserve"> та партнерами-однодумцями у Вашингтоні для представлення планів реалізації президентського бачення.</w:t>
      </w:r>
    </w:p>
    <w:p w14:paraId="2FA36DE7" w14:textId="77777777" w:rsidR="003B6F70" w:rsidRPr="002C10AA" w:rsidRDefault="003B6F70" w:rsidP="003B6F70">
      <w:pPr>
        <w:pStyle w:val="a7"/>
        <w:numPr>
          <w:ilvl w:val="0"/>
          <w:numId w:val="11"/>
        </w:numPr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szCs w:val="28"/>
          <w:lang w:val="uk-UA"/>
        </w:rPr>
        <w:t xml:space="preserve">Під час заходу 24 березня (який можна переглянути онлайн на www.nasa.gov/ignition/) адміністратор </w:t>
      </w:r>
      <w:proofErr w:type="spellStart"/>
      <w:r w:rsidRPr="002C10AA">
        <w:rPr>
          <w:rFonts w:cs="Times New Roman"/>
          <w:szCs w:val="28"/>
          <w:lang w:val="uk-UA"/>
        </w:rPr>
        <w:t>Айзекман</w:t>
      </w:r>
      <w:proofErr w:type="spellEnd"/>
      <w:r w:rsidRPr="002C10AA">
        <w:rPr>
          <w:rFonts w:cs="Times New Roman"/>
          <w:szCs w:val="28"/>
          <w:lang w:val="uk-UA"/>
        </w:rPr>
        <w:t xml:space="preserve"> зробив кілька ключових оголошень:</w:t>
      </w:r>
    </w:p>
    <w:p w14:paraId="2BBBF26A" w14:textId="77777777" w:rsidR="003B6F70" w:rsidRPr="002C10AA" w:rsidRDefault="003B6F70" w:rsidP="003B6F70">
      <w:pPr>
        <w:pStyle w:val="a7"/>
        <w:numPr>
          <w:ilvl w:val="0"/>
          <w:numId w:val="13"/>
        </w:numPr>
        <w:ind w:left="1134" w:hanging="425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b/>
          <w:szCs w:val="28"/>
          <w:lang w:val="uk-UA"/>
        </w:rPr>
        <w:t>По-перше, NASA суттєво збільшить частоту американських запусків на Місяць,</w:t>
      </w:r>
      <w:r w:rsidRPr="002C10AA">
        <w:rPr>
          <w:rFonts w:cs="Times New Roman"/>
          <w:szCs w:val="28"/>
          <w:lang w:val="uk-UA"/>
        </w:rPr>
        <w:t xml:space="preserve"> плануючи до 30 </w:t>
      </w:r>
      <w:proofErr w:type="spellStart"/>
      <w:r w:rsidRPr="002C10AA">
        <w:rPr>
          <w:rFonts w:cs="Times New Roman"/>
          <w:szCs w:val="28"/>
          <w:lang w:val="uk-UA"/>
        </w:rPr>
        <w:t>роботизованих</w:t>
      </w:r>
      <w:proofErr w:type="spellEnd"/>
      <w:r w:rsidRPr="002C10AA">
        <w:rPr>
          <w:rFonts w:cs="Times New Roman"/>
          <w:szCs w:val="28"/>
          <w:lang w:val="uk-UA"/>
        </w:rPr>
        <w:t xml:space="preserve"> посадок починаючи з 2027 року, із можливістю розміщення корисних навантажень для місяцеходів, стрибунів (</w:t>
      </w:r>
      <w:proofErr w:type="spellStart"/>
      <w:r w:rsidRPr="002C10AA">
        <w:rPr>
          <w:rFonts w:cs="Times New Roman"/>
          <w:szCs w:val="28"/>
          <w:lang w:val="uk-UA"/>
        </w:rPr>
        <w:t>hoppers</w:t>
      </w:r>
      <w:proofErr w:type="spellEnd"/>
      <w:r w:rsidRPr="002C10AA">
        <w:rPr>
          <w:rFonts w:cs="Times New Roman"/>
          <w:szCs w:val="28"/>
          <w:lang w:val="uk-UA"/>
        </w:rPr>
        <w:t xml:space="preserve">) і </w:t>
      </w:r>
      <w:proofErr w:type="spellStart"/>
      <w:r w:rsidRPr="002C10AA">
        <w:rPr>
          <w:rFonts w:cs="Times New Roman"/>
          <w:szCs w:val="28"/>
          <w:lang w:val="uk-UA"/>
        </w:rPr>
        <w:t>дронів</w:t>
      </w:r>
      <w:proofErr w:type="spellEnd"/>
      <w:r w:rsidRPr="002C10AA">
        <w:rPr>
          <w:rFonts w:cs="Times New Roman"/>
          <w:szCs w:val="28"/>
          <w:lang w:val="uk-UA"/>
        </w:rPr>
        <w:t>, із внесками від промисловості, академічних установ та міжнародних партнерів. Також передбачається щонайменше одна пілотована посадка на поверхню Місяця щороку, починаючи з 2028 року. Більша кількість запусків також означатиме більше можливостей для наукових корисних навантажень, приладів та внесків комерційних і міжнародних партнерів США.</w:t>
      </w:r>
    </w:p>
    <w:p w14:paraId="644F8886" w14:textId="77777777" w:rsidR="003B6F70" w:rsidRPr="002C10AA" w:rsidRDefault="003B6F70" w:rsidP="003B6F70">
      <w:pPr>
        <w:pStyle w:val="a7"/>
        <w:numPr>
          <w:ilvl w:val="0"/>
          <w:numId w:val="13"/>
        </w:numPr>
        <w:ind w:left="1134" w:hanging="425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b/>
          <w:szCs w:val="28"/>
          <w:lang w:val="uk-UA"/>
        </w:rPr>
        <w:t>По-друге, NASA оперативно просуватиме створення Місячної бази на південному полюсі Місяця.</w:t>
      </w:r>
      <w:r w:rsidRPr="002C10AA">
        <w:rPr>
          <w:rFonts w:cs="Times New Roman"/>
          <w:szCs w:val="28"/>
          <w:lang w:val="uk-UA"/>
        </w:rPr>
        <w:t xml:space="preserve"> Розробка відбуватиметься у три етапи:</w:t>
      </w:r>
    </w:p>
    <w:p w14:paraId="5A356979" w14:textId="77777777" w:rsidR="003B6F70" w:rsidRPr="002C10AA" w:rsidRDefault="003B6F70" w:rsidP="003B6F70">
      <w:pPr>
        <w:pStyle w:val="a7"/>
        <w:numPr>
          <w:ilvl w:val="0"/>
          <w:numId w:val="14"/>
        </w:numPr>
        <w:ind w:left="1560" w:hanging="294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b/>
          <w:szCs w:val="28"/>
          <w:lang w:val="uk-UA"/>
        </w:rPr>
        <w:t>Фаза 1 – Будувати, тестувати, навчатися:</w:t>
      </w:r>
      <w:r w:rsidRPr="002C10AA">
        <w:rPr>
          <w:rFonts w:cs="Times New Roman"/>
          <w:szCs w:val="28"/>
          <w:lang w:val="uk-UA"/>
        </w:rPr>
        <w:t xml:space="preserve"> у 2026–2028 роках NASA розробить повторюваний модульний підхід до місячних місій. Це включатиме ініціативи </w:t>
      </w:r>
      <w:proofErr w:type="spellStart"/>
      <w:r w:rsidRPr="002C10AA">
        <w:rPr>
          <w:rFonts w:cs="Times New Roman"/>
          <w:szCs w:val="28"/>
          <w:lang w:val="uk-UA"/>
        </w:rPr>
        <w:t>Commercial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Lunar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Payload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Services</w:t>
      </w:r>
      <w:proofErr w:type="spellEnd"/>
      <w:r w:rsidRPr="002C10AA">
        <w:rPr>
          <w:rFonts w:cs="Times New Roman"/>
          <w:szCs w:val="28"/>
          <w:lang w:val="uk-UA"/>
        </w:rPr>
        <w:t xml:space="preserve"> (CLPS) та </w:t>
      </w:r>
      <w:proofErr w:type="spellStart"/>
      <w:r w:rsidRPr="002C10AA">
        <w:rPr>
          <w:rFonts w:cs="Times New Roman"/>
          <w:szCs w:val="28"/>
          <w:lang w:val="uk-UA"/>
        </w:rPr>
        <w:t>Lunar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Terrain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Vehicle</w:t>
      </w:r>
      <w:proofErr w:type="spellEnd"/>
      <w:r w:rsidRPr="002C10AA">
        <w:rPr>
          <w:rFonts w:cs="Times New Roman"/>
          <w:szCs w:val="28"/>
          <w:lang w:val="uk-UA"/>
        </w:rPr>
        <w:t xml:space="preserve"> для збільшення темпів місячної діяльності. Корисні навантаження будуть зосереджені на демонстрації технологій, вдосконаленій мобільності, операціях на поверхні, генерації енергії, зв’язку, навігації та інших наукових дослідженнях.</w:t>
      </w:r>
    </w:p>
    <w:p w14:paraId="4E1C3D45" w14:textId="77777777" w:rsidR="003B6F70" w:rsidRPr="002C10AA" w:rsidRDefault="003B6F70" w:rsidP="003B6F70">
      <w:pPr>
        <w:pStyle w:val="a7"/>
        <w:numPr>
          <w:ilvl w:val="0"/>
          <w:numId w:val="14"/>
        </w:numPr>
        <w:ind w:left="1560" w:hanging="294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b/>
          <w:szCs w:val="28"/>
          <w:lang w:val="uk-UA"/>
        </w:rPr>
        <w:t>Фаза 2 – Створення початкової інфраструктури:</w:t>
      </w:r>
      <w:r w:rsidRPr="002C10AA">
        <w:rPr>
          <w:rFonts w:cs="Times New Roman"/>
          <w:szCs w:val="28"/>
          <w:lang w:val="uk-UA"/>
        </w:rPr>
        <w:t xml:space="preserve"> починаючи з 2029 року NASA перейде до </w:t>
      </w:r>
      <w:proofErr w:type="spellStart"/>
      <w:r w:rsidRPr="002C10AA">
        <w:rPr>
          <w:rFonts w:cs="Times New Roman"/>
          <w:szCs w:val="28"/>
          <w:lang w:val="uk-UA"/>
        </w:rPr>
        <w:t>напівжитлової</w:t>
      </w:r>
      <w:proofErr w:type="spellEnd"/>
      <w:r w:rsidRPr="002C10AA">
        <w:rPr>
          <w:rFonts w:cs="Times New Roman"/>
          <w:szCs w:val="28"/>
          <w:lang w:val="uk-UA"/>
        </w:rPr>
        <w:t xml:space="preserve"> інфраструктури та регулярної логістики для підтримки повторюваних операцій астронавтів на Місяці. Це включатиме значні міжнародні можливості, такі як герметизований </w:t>
      </w:r>
      <w:r w:rsidRPr="002C10AA">
        <w:rPr>
          <w:rFonts w:cs="Times New Roman"/>
          <w:szCs w:val="28"/>
          <w:lang w:val="uk-UA"/>
        </w:rPr>
        <w:lastRenderedPageBreak/>
        <w:t>місяцехід із Японії, а також міжнародні наукові корисні навантаження, місяцеходи, транспортні та інфраструктурні можливості.</w:t>
      </w:r>
    </w:p>
    <w:p w14:paraId="2C6752A4" w14:textId="77777777" w:rsidR="003B6F70" w:rsidRPr="002C10AA" w:rsidRDefault="003B6F70" w:rsidP="003B6F70">
      <w:pPr>
        <w:pStyle w:val="a7"/>
        <w:numPr>
          <w:ilvl w:val="0"/>
          <w:numId w:val="14"/>
        </w:numPr>
        <w:ind w:left="1560" w:hanging="294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b/>
          <w:szCs w:val="28"/>
          <w:lang w:val="uk-UA"/>
        </w:rPr>
        <w:t>Фаза 3 – Забезпечення безперервної присутності людини:</w:t>
      </w:r>
      <w:r w:rsidRPr="002C10AA">
        <w:rPr>
          <w:rFonts w:cs="Times New Roman"/>
          <w:szCs w:val="28"/>
          <w:lang w:val="uk-UA"/>
        </w:rPr>
        <w:t xml:space="preserve"> на початку 2030-х років NASA введе в експлуатацію великомасштабні посадкові системи для доставки важкої інфраструктури, необхідної для постійної присутності людини на Місяці. Це включатиме міжнародні можливості, такі як житлові модулі та місяцеходи. Існують можливості для подальшої співпраці у сферах проживання, мобільності на поверхні та логістики.</w:t>
      </w:r>
    </w:p>
    <w:p w14:paraId="12DA1780" w14:textId="77777777" w:rsidR="003B6F70" w:rsidRPr="002C10AA" w:rsidRDefault="003B6F70" w:rsidP="003B6F70">
      <w:pPr>
        <w:ind w:left="1134" w:hanging="283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szCs w:val="28"/>
          <w:lang w:val="uk-UA"/>
        </w:rPr>
        <w:t xml:space="preserve">o </w:t>
      </w:r>
      <w:r w:rsidRPr="002C10AA">
        <w:rPr>
          <w:rFonts w:cs="Times New Roman"/>
          <w:b/>
          <w:szCs w:val="28"/>
          <w:lang w:val="uk-UA"/>
        </w:rPr>
        <w:t>По-третє, NASA підтвердило свою відданість підтриманню американського лідерства на низькій навколоземній орбіті (LEO).</w:t>
      </w:r>
      <w:r w:rsidRPr="002C10AA">
        <w:rPr>
          <w:rFonts w:cs="Times New Roman"/>
          <w:szCs w:val="28"/>
          <w:lang w:val="uk-UA"/>
        </w:rPr>
        <w:t xml:space="preserve"> Понад два десятиліття Міжнародна космічна станція (МКС) забезпечувала дослідження для понад 5000 науковців із більш ніж 110 країн і прийняла 292 осіб із 26 країн, але не може функціонувати безкінечно та запланована до виведення з орбіти не раніше 2030 року. У процесі переходу NASA до комерційної космічної станції критично важливо також перейти до комерційних можливостей, які є життєздатними та відповідають потребам Америки у сфері досліджень і технологічного розвитку.</w:t>
      </w:r>
    </w:p>
    <w:p w14:paraId="53C44CA3" w14:textId="77777777" w:rsidR="003B6F70" w:rsidRPr="002C10AA" w:rsidRDefault="003B6F70" w:rsidP="003B6F70">
      <w:pPr>
        <w:ind w:left="1418" w:hanging="284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szCs w:val="28"/>
          <w:lang w:val="uk-UA"/>
        </w:rPr>
        <w:t xml:space="preserve">o У сфері науки NASA підтвердило свою прихильність до проривних досліджень світового рівня, включаючи нові захопливі місії у 2026 році, такі як космічний телескоп </w:t>
      </w:r>
      <w:proofErr w:type="spellStart"/>
      <w:r w:rsidRPr="002C10AA">
        <w:rPr>
          <w:rFonts w:cs="Times New Roman"/>
          <w:szCs w:val="28"/>
          <w:lang w:val="uk-UA"/>
        </w:rPr>
        <w:t>Nancy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Grace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Roman</w:t>
      </w:r>
      <w:proofErr w:type="spellEnd"/>
      <w:r w:rsidRPr="002C10AA">
        <w:rPr>
          <w:rFonts w:cs="Times New Roman"/>
          <w:szCs w:val="28"/>
          <w:lang w:val="uk-UA"/>
        </w:rPr>
        <w:t xml:space="preserve">; а у 2028 році — ядерний </w:t>
      </w:r>
      <w:proofErr w:type="spellStart"/>
      <w:r w:rsidRPr="002C10AA">
        <w:rPr>
          <w:rFonts w:cs="Times New Roman"/>
          <w:szCs w:val="28"/>
          <w:lang w:val="uk-UA"/>
        </w:rPr>
        <w:t>октокоптер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Dragonfly</w:t>
      </w:r>
      <w:proofErr w:type="spellEnd"/>
      <w:r w:rsidRPr="002C10AA">
        <w:rPr>
          <w:rFonts w:cs="Times New Roman"/>
          <w:szCs w:val="28"/>
          <w:lang w:val="uk-UA"/>
        </w:rPr>
        <w:t xml:space="preserve">, який досліджуватиме супутник Сатурна Титан; а також запуск марсохода </w:t>
      </w:r>
      <w:proofErr w:type="spellStart"/>
      <w:r w:rsidRPr="002C10AA">
        <w:rPr>
          <w:rFonts w:cs="Times New Roman"/>
          <w:szCs w:val="28"/>
          <w:lang w:val="uk-UA"/>
        </w:rPr>
        <w:t>Rosalind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Franklin</w:t>
      </w:r>
      <w:proofErr w:type="spellEnd"/>
      <w:r w:rsidRPr="002C10AA">
        <w:rPr>
          <w:rFonts w:cs="Times New Roman"/>
          <w:szCs w:val="28"/>
          <w:lang w:val="uk-UA"/>
        </w:rPr>
        <w:t xml:space="preserve"> Європейського космічного агентства на Марс. Оскільки програма CLPS NASA планує до 30 </w:t>
      </w:r>
      <w:proofErr w:type="spellStart"/>
      <w:r w:rsidRPr="002C10AA">
        <w:rPr>
          <w:rFonts w:cs="Times New Roman"/>
          <w:szCs w:val="28"/>
          <w:lang w:val="uk-UA"/>
        </w:rPr>
        <w:t>роботизованих</w:t>
      </w:r>
      <w:proofErr w:type="spellEnd"/>
      <w:r w:rsidRPr="002C10AA">
        <w:rPr>
          <w:rFonts w:cs="Times New Roman"/>
          <w:szCs w:val="28"/>
          <w:lang w:val="uk-UA"/>
        </w:rPr>
        <w:t xml:space="preserve"> посадок на Місяць починаючи з 2027 року, NASA тепер запрошує наукові місячні корисні навантаження від промисловості, академічних установ та міжнародних партнерів.</w:t>
      </w:r>
    </w:p>
    <w:p w14:paraId="2CBCD977" w14:textId="77777777" w:rsidR="003B6F70" w:rsidRPr="002C10AA" w:rsidRDefault="003B6F70" w:rsidP="003B6F70">
      <w:pPr>
        <w:pStyle w:val="a7"/>
        <w:numPr>
          <w:ilvl w:val="1"/>
          <w:numId w:val="16"/>
        </w:numPr>
        <w:ind w:left="851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b/>
          <w:szCs w:val="28"/>
          <w:lang w:val="uk-UA"/>
        </w:rPr>
        <w:t>У багатьох із цих напрямів місій NASA активно шукає партнерства з країнами-учасницями Угод Артеміди та партнерами-однодумцями</w:t>
      </w:r>
      <w:r w:rsidRPr="002C10AA">
        <w:rPr>
          <w:rFonts w:cs="Times New Roman"/>
          <w:szCs w:val="28"/>
          <w:lang w:val="uk-UA"/>
        </w:rPr>
        <w:t xml:space="preserve"> для надання обладнання, корисних навантажень, досліджень та іншої підтримки з розподілом витрат. Адміністратор NASA </w:t>
      </w:r>
      <w:proofErr w:type="spellStart"/>
      <w:r w:rsidRPr="002C10AA">
        <w:rPr>
          <w:rFonts w:cs="Times New Roman"/>
          <w:szCs w:val="28"/>
          <w:lang w:val="uk-UA"/>
        </w:rPr>
        <w:t>Айзекман</w:t>
      </w:r>
      <w:proofErr w:type="spellEnd"/>
      <w:r w:rsidRPr="002C10AA">
        <w:rPr>
          <w:rFonts w:cs="Times New Roman"/>
          <w:szCs w:val="28"/>
          <w:lang w:val="uk-UA"/>
        </w:rPr>
        <w:t xml:space="preserve"> наголосив, що міжнародні партнерства є очікуваними та необхідними для майбутніх досліджень, і повідомив, що NASA прагне повернутися на Місяць разом із підписантами </w:t>
      </w:r>
      <w:proofErr w:type="spellStart"/>
      <w:r w:rsidRPr="002C10AA">
        <w:rPr>
          <w:rFonts w:cs="Times New Roman"/>
          <w:szCs w:val="28"/>
          <w:lang w:val="uk-UA"/>
        </w:rPr>
        <w:t>Artemis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Accords</w:t>
      </w:r>
      <w:proofErr w:type="spellEnd"/>
      <w:r w:rsidRPr="002C10AA">
        <w:rPr>
          <w:rFonts w:cs="Times New Roman"/>
          <w:szCs w:val="28"/>
          <w:lang w:val="uk-UA"/>
        </w:rPr>
        <w:t>. Ми закликаємо вас ознайомитися з оновленими планами місій NASA, визначити та співвіднести ваші національні можливості й розглянути, як вони можуть закрити наявні прогалини чи потреби. Партнери, які бажають дослідити можливості співпраці, можуть звертатися безпосередньо до NASA за адресою HQ-OIIR-Ignition@mail.nasa.gov.</w:t>
      </w:r>
    </w:p>
    <w:p w14:paraId="63EF724F" w14:textId="77777777" w:rsidR="003B6F70" w:rsidRPr="002C10AA" w:rsidRDefault="003B6F70" w:rsidP="003B6F70">
      <w:pPr>
        <w:pStyle w:val="a7"/>
        <w:numPr>
          <w:ilvl w:val="1"/>
          <w:numId w:val="16"/>
        </w:numPr>
        <w:ind w:left="851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szCs w:val="28"/>
          <w:lang w:val="uk-UA"/>
        </w:rPr>
        <w:lastRenderedPageBreak/>
        <w:t xml:space="preserve">Крім того, </w:t>
      </w:r>
      <w:r w:rsidRPr="002C10AA">
        <w:rPr>
          <w:rFonts w:cs="Times New Roman"/>
          <w:b/>
          <w:szCs w:val="28"/>
          <w:lang w:val="uk-UA"/>
        </w:rPr>
        <w:t xml:space="preserve">NASA опублікувало </w:t>
      </w:r>
      <w:proofErr w:type="spellStart"/>
      <w:r w:rsidRPr="002C10AA">
        <w:rPr>
          <w:rFonts w:cs="Times New Roman"/>
          <w:b/>
          <w:szCs w:val="28"/>
          <w:lang w:val="uk-UA"/>
        </w:rPr>
        <w:t>Request</w:t>
      </w:r>
      <w:proofErr w:type="spellEnd"/>
      <w:r w:rsidRPr="002C10AA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b/>
          <w:szCs w:val="28"/>
          <w:lang w:val="uk-UA"/>
        </w:rPr>
        <w:t>for</w:t>
      </w:r>
      <w:proofErr w:type="spellEnd"/>
      <w:r w:rsidRPr="002C10AA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b/>
          <w:szCs w:val="28"/>
          <w:lang w:val="uk-UA"/>
        </w:rPr>
        <w:t>Information</w:t>
      </w:r>
      <w:proofErr w:type="spellEnd"/>
      <w:r w:rsidRPr="002C10AA">
        <w:rPr>
          <w:rFonts w:cs="Times New Roman"/>
          <w:b/>
          <w:szCs w:val="28"/>
          <w:lang w:val="uk-UA"/>
        </w:rPr>
        <w:t xml:space="preserve"> (RFI), відкритий для коментарів, технічних пропозицій і зворотного зв’язку від країн </w:t>
      </w:r>
      <w:proofErr w:type="spellStart"/>
      <w:r w:rsidRPr="002C10AA">
        <w:rPr>
          <w:rFonts w:cs="Times New Roman"/>
          <w:b/>
          <w:szCs w:val="28"/>
          <w:lang w:val="uk-UA"/>
        </w:rPr>
        <w:t>Artemis</w:t>
      </w:r>
      <w:proofErr w:type="spellEnd"/>
      <w:r w:rsidRPr="002C10AA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b/>
          <w:szCs w:val="28"/>
          <w:lang w:val="uk-UA"/>
        </w:rPr>
        <w:t>Accords</w:t>
      </w:r>
      <w:proofErr w:type="spellEnd"/>
      <w:r w:rsidRPr="002C10AA">
        <w:rPr>
          <w:rFonts w:cs="Times New Roman"/>
          <w:b/>
          <w:szCs w:val="28"/>
          <w:lang w:val="uk-UA"/>
        </w:rPr>
        <w:t xml:space="preserve"> та партнерів-однодумців.</w:t>
      </w:r>
      <w:r w:rsidRPr="002C10AA">
        <w:rPr>
          <w:rFonts w:cs="Times New Roman"/>
          <w:szCs w:val="28"/>
          <w:lang w:val="uk-UA"/>
        </w:rPr>
        <w:t xml:space="preserve"> Усі коментарі мають бути подані до 23 квітня 2026 року: </w:t>
      </w:r>
      <w:proofErr w:type="spellStart"/>
      <w:r w:rsidRPr="002C10AA">
        <w:rPr>
          <w:rFonts w:cs="Times New Roman"/>
          <w:szCs w:val="28"/>
          <w:lang w:val="uk-UA"/>
        </w:rPr>
        <w:t>Lunar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Science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and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Technology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Payloads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for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Expanded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Lunar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Landing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Opportunities</w:t>
      </w:r>
      <w:proofErr w:type="spellEnd"/>
      <w:r w:rsidRPr="002C10AA">
        <w:rPr>
          <w:rFonts w:cs="Times New Roman"/>
          <w:szCs w:val="28"/>
          <w:lang w:val="uk-UA"/>
        </w:rPr>
        <w:t>.</w:t>
      </w:r>
    </w:p>
    <w:p w14:paraId="740136DC" w14:textId="77777777" w:rsidR="00C26EA3" w:rsidRPr="002C10AA" w:rsidRDefault="003B6F70" w:rsidP="003B6F70">
      <w:pPr>
        <w:pStyle w:val="a7"/>
        <w:numPr>
          <w:ilvl w:val="1"/>
          <w:numId w:val="16"/>
        </w:numPr>
        <w:ind w:left="851"/>
        <w:jc w:val="both"/>
        <w:rPr>
          <w:rFonts w:cs="Times New Roman"/>
          <w:szCs w:val="28"/>
          <w:lang w:val="uk-UA"/>
        </w:rPr>
      </w:pPr>
      <w:r w:rsidRPr="002C10AA">
        <w:rPr>
          <w:rFonts w:cs="Times New Roman"/>
          <w:szCs w:val="28"/>
          <w:lang w:val="uk-UA"/>
        </w:rPr>
        <w:t xml:space="preserve">Нарешті, ми закликаємо країни-підписанти </w:t>
      </w:r>
      <w:proofErr w:type="spellStart"/>
      <w:r w:rsidRPr="002C10AA">
        <w:rPr>
          <w:rFonts w:cs="Times New Roman"/>
          <w:szCs w:val="28"/>
          <w:lang w:val="uk-UA"/>
        </w:rPr>
        <w:t>Artemis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Accords</w:t>
      </w:r>
      <w:proofErr w:type="spellEnd"/>
      <w:r w:rsidRPr="002C10AA">
        <w:rPr>
          <w:rFonts w:cs="Times New Roman"/>
          <w:szCs w:val="28"/>
          <w:lang w:val="uk-UA"/>
        </w:rPr>
        <w:t xml:space="preserve"> брати участь в активних заходах із впровадження та політичних дискусіях для просування принципів </w:t>
      </w:r>
      <w:proofErr w:type="spellStart"/>
      <w:r w:rsidRPr="002C10AA">
        <w:rPr>
          <w:rFonts w:cs="Times New Roman"/>
          <w:szCs w:val="28"/>
          <w:lang w:val="uk-UA"/>
        </w:rPr>
        <w:t>Accords</w:t>
      </w:r>
      <w:proofErr w:type="spellEnd"/>
      <w:r w:rsidRPr="002C10AA">
        <w:rPr>
          <w:rFonts w:cs="Times New Roman"/>
          <w:szCs w:val="28"/>
          <w:lang w:val="uk-UA"/>
        </w:rPr>
        <w:t xml:space="preserve">. Ці зусилля цього року включають регулярні віртуальні зустрічі, запланований очний робочий семінар у Лімі, Перу (13–14 травня), а також очікувану зустріч на рівні керівництва на полях майбутнього Міжнародного </w:t>
      </w:r>
      <w:proofErr w:type="spellStart"/>
      <w:r w:rsidRPr="002C10AA">
        <w:rPr>
          <w:rFonts w:cs="Times New Roman"/>
          <w:szCs w:val="28"/>
          <w:lang w:val="uk-UA"/>
        </w:rPr>
        <w:t>астронавтичного</w:t>
      </w:r>
      <w:proofErr w:type="spellEnd"/>
      <w:r w:rsidRPr="002C10AA">
        <w:rPr>
          <w:rFonts w:cs="Times New Roman"/>
          <w:szCs w:val="28"/>
          <w:lang w:val="uk-UA"/>
        </w:rPr>
        <w:t xml:space="preserve"> конгресу в </w:t>
      </w:r>
      <w:proofErr w:type="spellStart"/>
      <w:r w:rsidRPr="002C10AA">
        <w:rPr>
          <w:rFonts w:cs="Times New Roman"/>
          <w:szCs w:val="28"/>
          <w:lang w:val="uk-UA"/>
        </w:rPr>
        <w:t>Анталії</w:t>
      </w:r>
      <w:proofErr w:type="spellEnd"/>
      <w:r w:rsidRPr="002C10AA">
        <w:rPr>
          <w:rFonts w:cs="Times New Roman"/>
          <w:szCs w:val="28"/>
          <w:lang w:val="uk-UA"/>
        </w:rPr>
        <w:t xml:space="preserve">, Туреччина (5–9 жовтня). Для отримання додаткової інформації щодо впровадження </w:t>
      </w:r>
      <w:proofErr w:type="spellStart"/>
      <w:r w:rsidRPr="002C10AA">
        <w:rPr>
          <w:rFonts w:cs="Times New Roman"/>
          <w:szCs w:val="28"/>
          <w:lang w:val="uk-UA"/>
        </w:rPr>
        <w:t>Artemis</w:t>
      </w:r>
      <w:proofErr w:type="spellEnd"/>
      <w:r w:rsidRPr="002C10AA">
        <w:rPr>
          <w:rFonts w:cs="Times New Roman"/>
          <w:szCs w:val="28"/>
          <w:lang w:val="uk-UA"/>
        </w:rPr>
        <w:t xml:space="preserve"> </w:t>
      </w:r>
      <w:proofErr w:type="spellStart"/>
      <w:r w:rsidRPr="002C10AA">
        <w:rPr>
          <w:rFonts w:cs="Times New Roman"/>
          <w:szCs w:val="28"/>
          <w:lang w:val="uk-UA"/>
        </w:rPr>
        <w:t>Accords</w:t>
      </w:r>
      <w:proofErr w:type="spellEnd"/>
      <w:r w:rsidRPr="002C10AA">
        <w:rPr>
          <w:rFonts w:cs="Times New Roman"/>
          <w:szCs w:val="28"/>
          <w:lang w:val="uk-UA"/>
        </w:rPr>
        <w:t xml:space="preserve">, включно з тим, як країни-підписанти можуть брати участь у спільноті </w:t>
      </w:r>
      <w:proofErr w:type="spellStart"/>
      <w:r w:rsidRPr="002C10AA">
        <w:rPr>
          <w:rFonts w:cs="Times New Roman"/>
          <w:szCs w:val="28"/>
          <w:lang w:val="uk-UA"/>
        </w:rPr>
        <w:t>Accords</w:t>
      </w:r>
      <w:proofErr w:type="spellEnd"/>
      <w:r w:rsidRPr="002C10AA">
        <w:rPr>
          <w:rFonts w:cs="Times New Roman"/>
          <w:szCs w:val="28"/>
          <w:lang w:val="uk-UA"/>
        </w:rPr>
        <w:t xml:space="preserve">, можна звертатися до Девіда </w:t>
      </w:r>
      <w:proofErr w:type="spellStart"/>
      <w:r w:rsidRPr="002C10AA">
        <w:rPr>
          <w:rFonts w:cs="Times New Roman"/>
          <w:szCs w:val="28"/>
          <w:lang w:val="uk-UA"/>
        </w:rPr>
        <w:t>Райнеке</w:t>
      </w:r>
      <w:proofErr w:type="spellEnd"/>
      <w:r w:rsidRPr="002C10AA">
        <w:rPr>
          <w:rFonts w:cs="Times New Roman"/>
          <w:szCs w:val="28"/>
          <w:lang w:val="uk-UA"/>
        </w:rPr>
        <w:t xml:space="preserve"> за </w:t>
      </w:r>
      <w:proofErr w:type="spellStart"/>
      <w:r w:rsidRPr="002C10AA">
        <w:rPr>
          <w:rFonts w:cs="Times New Roman"/>
          <w:szCs w:val="28"/>
          <w:lang w:val="uk-UA"/>
        </w:rPr>
        <w:t>адресою</w:t>
      </w:r>
      <w:proofErr w:type="spellEnd"/>
      <w:r w:rsidRPr="002C10AA">
        <w:rPr>
          <w:rFonts w:cs="Times New Roman"/>
          <w:szCs w:val="28"/>
          <w:lang w:val="uk-UA"/>
        </w:rPr>
        <w:t xml:space="preserve"> reineckedm@state.gov та Кім </w:t>
      </w:r>
      <w:proofErr w:type="spellStart"/>
      <w:r w:rsidRPr="002C10AA">
        <w:rPr>
          <w:rFonts w:cs="Times New Roman"/>
          <w:szCs w:val="28"/>
          <w:lang w:val="uk-UA"/>
        </w:rPr>
        <w:t>Герст</w:t>
      </w:r>
      <w:proofErr w:type="spellEnd"/>
      <w:r w:rsidRPr="002C10AA">
        <w:rPr>
          <w:rFonts w:cs="Times New Roman"/>
          <w:szCs w:val="28"/>
          <w:lang w:val="uk-UA"/>
        </w:rPr>
        <w:t xml:space="preserve"> за </w:t>
      </w:r>
      <w:proofErr w:type="spellStart"/>
      <w:r w:rsidRPr="002C10AA">
        <w:rPr>
          <w:rFonts w:cs="Times New Roman"/>
          <w:szCs w:val="28"/>
          <w:lang w:val="uk-UA"/>
        </w:rPr>
        <w:t>адресою</w:t>
      </w:r>
      <w:proofErr w:type="spellEnd"/>
      <w:r w:rsidRPr="002C10AA">
        <w:rPr>
          <w:rFonts w:cs="Times New Roman"/>
          <w:szCs w:val="28"/>
          <w:lang w:val="uk-UA"/>
        </w:rPr>
        <w:t xml:space="preserve"> kimberly.a.hurst@nasa.gov</w:t>
      </w:r>
    </w:p>
    <w:sectPr w:rsidR="00C26EA3" w:rsidRPr="002C10AA" w:rsidSect="002C10AA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nova MFA Cyrillic">
    <w:altName w:val="Arial"/>
    <w:charset w:val="CC"/>
    <w:family w:val="auto"/>
    <w:pitch w:val="variable"/>
    <w:sig w:usb0="00000201" w:usb1="0000000A" w:usb2="00000000" w:usb3="00000000" w:csb0="00000004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45C4"/>
    <w:multiLevelType w:val="multilevel"/>
    <w:tmpl w:val="551A30D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8F4FCE"/>
    <w:multiLevelType w:val="multilevel"/>
    <w:tmpl w:val="D2F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5324A0"/>
    <w:multiLevelType w:val="multilevel"/>
    <w:tmpl w:val="68BEA7C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3C139C9"/>
    <w:multiLevelType w:val="multilevel"/>
    <w:tmpl w:val="11BC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326181"/>
    <w:multiLevelType w:val="multilevel"/>
    <w:tmpl w:val="B5D0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976FE9"/>
    <w:multiLevelType w:val="multilevel"/>
    <w:tmpl w:val="253277F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9A03192"/>
    <w:multiLevelType w:val="hybridMultilevel"/>
    <w:tmpl w:val="B4AC98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A34D9"/>
    <w:multiLevelType w:val="hybridMultilevel"/>
    <w:tmpl w:val="532EA36C"/>
    <w:lvl w:ilvl="0" w:tplc="907A44BC">
      <w:numFmt w:val="bullet"/>
      <w:lvlText w:val="•"/>
      <w:lvlJc w:val="left"/>
      <w:pPr>
        <w:ind w:left="720" w:hanging="360"/>
      </w:pPr>
      <w:rPr>
        <w:rFonts w:ascii="Osnova MFA Cyrillic" w:eastAsiaTheme="minorHAnsi" w:hAnsi="Osnova MFA Cyrillic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0B73"/>
    <w:multiLevelType w:val="multilevel"/>
    <w:tmpl w:val="D0B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DD351C"/>
    <w:multiLevelType w:val="multilevel"/>
    <w:tmpl w:val="5380D0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BDB2406"/>
    <w:multiLevelType w:val="multilevel"/>
    <w:tmpl w:val="71B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003BD7"/>
    <w:multiLevelType w:val="hybridMultilevel"/>
    <w:tmpl w:val="D0D4DAF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83A06"/>
    <w:multiLevelType w:val="multilevel"/>
    <w:tmpl w:val="4EE2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E125D7"/>
    <w:multiLevelType w:val="hybridMultilevel"/>
    <w:tmpl w:val="D722E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803D0"/>
    <w:multiLevelType w:val="hybridMultilevel"/>
    <w:tmpl w:val="EF146F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3050D"/>
    <w:multiLevelType w:val="hybridMultilevel"/>
    <w:tmpl w:val="54128DC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080624">
      <w:numFmt w:val="bullet"/>
      <w:lvlText w:val="•"/>
      <w:lvlJc w:val="left"/>
      <w:pPr>
        <w:ind w:left="1440" w:hanging="360"/>
      </w:pPr>
      <w:rPr>
        <w:rFonts w:ascii="Osnova MFA Cyrillic" w:eastAsiaTheme="minorHAnsi" w:hAnsi="Osnova MFA Cyrillic" w:cstheme="minorBid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15"/>
  </w:num>
  <w:num w:numId="14">
    <w:abstractNumId w:val="1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DD8"/>
    <w:rsid w:val="000D26A7"/>
    <w:rsid w:val="0015252C"/>
    <w:rsid w:val="001951FD"/>
    <w:rsid w:val="002256BB"/>
    <w:rsid w:val="002C10AA"/>
    <w:rsid w:val="00392345"/>
    <w:rsid w:val="003B6F70"/>
    <w:rsid w:val="009C6DD8"/>
    <w:rsid w:val="00A930F4"/>
    <w:rsid w:val="00C04845"/>
    <w:rsid w:val="00C144C9"/>
    <w:rsid w:val="00C26EA3"/>
    <w:rsid w:val="00D13100"/>
    <w:rsid w:val="00E53CAA"/>
    <w:rsid w:val="00F0747C"/>
    <w:rsid w:val="00FA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9FE6"/>
  <w15:docId w15:val="{6A4A0A51-C211-4F56-9ACA-83444DE1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F4"/>
  </w:style>
  <w:style w:type="paragraph" w:styleId="1">
    <w:name w:val="heading 1"/>
    <w:basedOn w:val="a"/>
    <w:next w:val="a"/>
    <w:link w:val="10"/>
    <w:uiPriority w:val="9"/>
    <w:qFormat/>
    <w:rsid w:val="009C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D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D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D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D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D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DD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D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D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D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D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D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DD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D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DD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C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D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D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D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D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DD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6DD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Cronan, Bryan</dc:creator>
  <cp:lastModifiedBy>Ірина В. Федоренко</cp:lastModifiedBy>
  <cp:revision>3</cp:revision>
  <dcterms:created xsi:type="dcterms:W3CDTF">2026-05-13T09:22:00Z</dcterms:created>
  <dcterms:modified xsi:type="dcterms:W3CDTF">2026-05-18T08:57:00Z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2026-05-07T08:42:26Z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3eb2c3cc-4154-44d8-ab67-20fa72f2bed9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</Properties>
</file>